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C21230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Entrata;</w:t>
      </w:r>
    </w:p>
    <w:p w14:paraId="4040AD41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Spesa;</w:t>
      </w:r>
    </w:p>
    <w:p w14:paraId="0C436D16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Riepilogo Entrate per Titoli;</w:t>
      </w:r>
    </w:p>
    <w:p w14:paraId="11BC89A3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Riepilogo Spese per Titoli;</w:t>
      </w:r>
    </w:p>
    <w:p w14:paraId="08F8DEE0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Quadro Generale Riassuntivo;</w:t>
      </w:r>
    </w:p>
    <w:p w14:paraId="4E8AF4BE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Equilibri di Bilancio 2025-2027;</w:t>
      </w:r>
    </w:p>
    <w:p w14:paraId="43DBEDCC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Riepilogo Spese per Missione;</w:t>
      </w:r>
    </w:p>
    <w:p w14:paraId="673E7D9A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Spese per Titoli e Macroaggregati;</w:t>
      </w:r>
    </w:p>
    <w:p w14:paraId="63657C9F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Spese per Funzioni Delegate dalla Regione;</w:t>
      </w:r>
    </w:p>
    <w:p w14:paraId="476ACD62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Riepilogo Spese finanziate fondi comunitari;</w:t>
      </w:r>
    </w:p>
    <w:p w14:paraId="6755F879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Previsioni annuali secondo il Piano dei Conti – Entrata;</w:t>
      </w:r>
    </w:p>
    <w:p w14:paraId="682A2BEC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Previsioni annuali secondo il Piano dei Conti – Spesa;</w:t>
      </w:r>
    </w:p>
    <w:p w14:paraId="34E3E124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Fondo Crediti di Dubbia Esigibilità (media semplice);</w:t>
      </w:r>
    </w:p>
    <w:p w14:paraId="2540E4D7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- Indicatori sintetici di bilancio;</w:t>
      </w:r>
    </w:p>
    <w:p w14:paraId="4597DFE0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Indicatori Analitici di Entrata;</w:t>
      </w:r>
    </w:p>
    <w:p w14:paraId="6E74710F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Indicatori Analitici di Spesa;</w:t>
      </w:r>
    </w:p>
    <w:p w14:paraId="042240BE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Quadro Ammortamento Mutui;</w:t>
      </w:r>
    </w:p>
    <w:p w14:paraId="311A68E7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Elenco indirizzi internet pubblicazione bilancio;</w:t>
      </w:r>
    </w:p>
    <w:p w14:paraId="5D374261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Quadro riassuntivo della Spesa del Personale;</w:t>
      </w:r>
    </w:p>
    <w:p w14:paraId="2BFA62A0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Prospetto verifica limiti di Spesa del Personale;</w:t>
      </w:r>
    </w:p>
    <w:p w14:paraId="3FA6505E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- Prospetto Entrate e Spese Vincolate;</w:t>
      </w:r>
    </w:p>
    <w:p w14:paraId="6A66017C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Previsione - Composizione FPV iniziale;</w:t>
      </w:r>
    </w:p>
    <w:p w14:paraId="6653DBFE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- Entrata per Titoli Tipologie e Categorie;</w:t>
      </w:r>
    </w:p>
    <w:p w14:paraId="3A2B9955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- Spesa per MISSIONI, PROGRAMMI E MACROAGGREGATI - Titolo I;</w:t>
      </w:r>
    </w:p>
    <w:p w14:paraId="35A62799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- Spesa per MISSIONI, PROGRAMMI E MACROAGGREGATI - Titolo II e III;</w:t>
      </w:r>
    </w:p>
    <w:p w14:paraId="4249EAA1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Spesa per MISSIONI, PROGRAMMI E MACROAGGREGATI - Titolo IV;</w:t>
      </w:r>
    </w:p>
    <w:p w14:paraId="28BAF85C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lastRenderedPageBreak/>
        <w:t>Bilancio di Previsione - Spesa per MISSIONI, PROGRAMMI E MACROAGGREGATI - Titolo VII;</w:t>
      </w:r>
    </w:p>
    <w:p w14:paraId="27D69B0B" w14:textId="77777777" w:rsidR="00D36619" w:rsidRPr="000F72F6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- Tabella Parametri Deficitarietà;</w:t>
      </w:r>
    </w:p>
    <w:p w14:paraId="6F06C29F" w14:textId="77777777" w:rsidR="00D36619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- Prospetto rispetto vincoli di indebitamento</w:t>
      </w:r>
      <w:r>
        <w:rPr>
          <w:rFonts w:ascii="Calibri" w:hAnsi="Calibri" w:cs="Calibri"/>
          <w:sz w:val="22"/>
          <w:szCs w:val="22"/>
        </w:rPr>
        <w:t>;</w:t>
      </w:r>
    </w:p>
    <w:p w14:paraId="71652E7E" w14:textId="77777777" w:rsidR="00D36619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di Previsione – Nota Integrativa 2025</w:t>
      </w:r>
      <w:r>
        <w:rPr>
          <w:rFonts w:ascii="Calibri" w:hAnsi="Calibri" w:cs="Calibri"/>
          <w:sz w:val="22"/>
          <w:szCs w:val="22"/>
        </w:rPr>
        <w:t>;</w:t>
      </w:r>
    </w:p>
    <w:p w14:paraId="3BB444AD" w14:textId="77777777" w:rsidR="00D36619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</w:rPr>
      </w:pPr>
      <w:r w:rsidRPr="000F72F6">
        <w:rPr>
          <w:rFonts w:ascii="Calibri" w:hAnsi="Calibri" w:cs="Calibri"/>
          <w:sz w:val="22"/>
          <w:szCs w:val="22"/>
          <w:highlight w:val="yellow"/>
        </w:rPr>
        <w:t>Bilancio Previsione - Bilanci Società Partecipate</w:t>
      </w:r>
      <w:r>
        <w:rPr>
          <w:rFonts w:ascii="Calibri" w:hAnsi="Calibri" w:cs="Calibri"/>
          <w:sz w:val="22"/>
          <w:szCs w:val="22"/>
        </w:rPr>
        <w:t>;</w:t>
      </w:r>
    </w:p>
    <w:p w14:paraId="0DBB6E07" w14:textId="77777777" w:rsidR="00D36619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</w:rPr>
      </w:pPr>
      <w:bookmarkStart w:id="0" w:name="_GoBack"/>
      <w:bookmarkEnd w:id="0"/>
      <w:r w:rsidRPr="00443DF8">
        <w:rPr>
          <w:rFonts w:ascii="Calibri" w:hAnsi="Calibri" w:cs="Calibri"/>
          <w:sz w:val="22"/>
          <w:szCs w:val="22"/>
          <w:highlight w:val="yellow"/>
        </w:rPr>
        <w:t>Bilancio Previsione - Deliberazioni Tariffe 2025</w:t>
      </w:r>
      <w:r>
        <w:rPr>
          <w:rFonts w:ascii="Calibri" w:hAnsi="Calibri" w:cs="Calibri"/>
          <w:sz w:val="22"/>
          <w:szCs w:val="22"/>
        </w:rPr>
        <w:t>;</w:t>
      </w:r>
    </w:p>
    <w:p w14:paraId="6A78B977" w14:textId="11336DF3" w:rsidR="00D36619" w:rsidRPr="00443DF8" w:rsidRDefault="00D36619" w:rsidP="00D36619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443DF8">
        <w:rPr>
          <w:rFonts w:ascii="Calibri" w:hAnsi="Calibri" w:cs="Calibri"/>
          <w:sz w:val="22"/>
          <w:szCs w:val="22"/>
          <w:highlight w:val="yellow"/>
        </w:rPr>
        <w:t>Parere art. 153 del Responsabile Servizio Finanziario</w:t>
      </w:r>
      <w:r w:rsidR="00443DF8">
        <w:rPr>
          <w:rFonts w:ascii="Calibri" w:hAnsi="Calibri" w:cs="Calibri"/>
          <w:sz w:val="22"/>
          <w:szCs w:val="22"/>
          <w:highlight w:val="yellow"/>
        </w:rPr>
        <w:t>;</w:t>
      </w:r>
    </w:p>
    <w:p w14:paraId="70A361B7" w14:textId="77777777" w:rsidR="00CC6CC7" w:rsidRPr="001E404D" w:rsidRDefault="00CC6CC7" w:rsidP="00CC6CC7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</w:rPr>
      </w:pPr>
      <w:r w:rsidRPr="00443DF8">
        <w:rPr>
          <w:rFonts w:ascii="Calibri" w:hAnsi="Calibri" w:cs="Calibri"/>
          <w:sz w:val="22"/>
          <w:szCs w:val="22"/>
          <w:highlight w:val="yellow"/>
        </w:rPr>
        <w:t>Decreto Deliberativo n. 06 del 05.06.2025 – PTOP</w:t>
      </w:r>
      <w:r w:rsidRPr="001E404D">
        <w:rPr>
          <w:rFonts w:ascii="Calibri" w:hAnsi="Calibri" w:cs="Calibri"/>
          <w:sz w:val="22"/>
          <w:szCs w:val="22"/>
        </w:rPr>
        <w:t>;</w:t>
      </w:r>
    </w:p>
    <w:p w14:paraId="46E8AE7A" w14:textId="77777777" w:rsidR="00CC6CC7" w:rsidRDefault="00CC6CC7" w:rsidP="00CC6CC7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</w:rPr>
      </w:pPr>
      <w:r w:rsidRPr="00443DF8">
        <w:rPr>
          <w:rFonts w:ascii="Calibri" w:hAnsi="Calibri" w:cs="Calibri"/>
          <w:sz w:val="22"/>
          <w:szCs w:val="22"/>
          <w:highlight w:val="yellow"/>
        </w:rPr>
        <w:t>Decreto Deliberativo n. 08 del 05.06.2025 - Piano Triennale degli Acquisti e Beni Servizi</w:t>
      </w:r>
      <w:r>
        <w:rPr>
          <w:rFonts w:ascii="Calibri" w:hAnsi="Calibri" w:cs="Calibri"/>
          <w:sz w:val="22"/>
          <w:szCs w:val="22"/>
        </w:rPr>
        <w:t>;</w:t>
      </w:r>
    </w:p>
    <w:p w14:paraId="677A680B" w14:textId="77777777" w:rsidR="00CC6CC7" w:rsidRPr="00443DF8" w:rsidRDefault="00CC6CC7" w:rsidP="00CC6CC7">
      <w:pPr>
        <w:numPr>
          <w:ilvl w:val="1"/>
          <w:numId w:val="1"/>
        </w:numPr>
        <w:autoSpaceDE w:val="0"/>
        <w:autoSpaceDN w:val="0"/>
        <w:adjustRightInd w:val="0"/>
        <w:ind w:left="1440" w:hanging="360"/>
        <w:rPr>
          <w:rFonts w:ascii="Calibri" w:hAnsi="Calibri" w:cs="Calibri"/>
          <w:sz w:val="22"/>
          <w:szCs w:val="22"/>
          <w:highlight w:val="yellow"/>
        </w:rPr>
      </w:pPr>
      <w:r w:rsidRPr="00443DF8">
        <w:rPr>
          <w:rFonts w:ascii="Calibri" w:hAnsi="Calibri" w:cs="Calibri"/>
          <w:sz w:val="22"/>
          <w:szCs w:val="22"/>
          <w:highlight w:val="yellow"/>
        </w:rPr>
        <w:t>Decreto Deliberativo n. 07 del 05.06.2025 – Piano delle Alienazioni e Valorizzazioni Immobiliari.</w:t>
      </w:r>
    </w:p>
    <w:p w14:paraId="79991E61" w14:textId="77777777" w:rsidR="00D7368B" w:rsidRDefault="00D7368B"/>
    <w:sectPr w:rsidR="00D7368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570612F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275"/>
    <w:rsid w:val="000F72F6"/>
    <w:rsid w:val="0026178D"/>
    <w:rsid w:val="002F7275"/>
    <w:rsid w:val="00443DF8"/>
    <w:rsid w:val="004B50E5"/>
    <w:rsid w:val="00646A56"/>
    <w:rsid w:val="00BE03FA"/>
    <w:rsid w:val="00CC6CC7"/>
    <w:rsid w:val="00D36619"/>
    <w:rsid w:val="00D7368B"/>
    <w:rsid w:val="00FE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46D9A"/>
  <w15:chartTrackingRefBased/>
  <w15:docId w15:val="{87488EE9-317E-4069-92E5-0D3AA514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36619"/>
    <w:pPr>
      <w:spacing w:before="120" w:after="120" w:line="360" w:lineRule="auto"/>
      <w:ind w:firstLine="425"/>
      <w:jc w:val="both"/>
    </w:pPr>
    <w:rPr>
      <w:rFonts w:ascii="Trebuchet MS" w:eastAsia="SimSun" w:hAnsi="Trebuchet MS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del Sud Sardegna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 Manca</dc:creator>
  <cp:keywords/>
  <dc:description/>
  <cp:lastModifiedBy>Mauro Manca</cp:lastModifiedBy>
  <cp:revision>7</cp:revision>
  <dcterms:created xsi:type="dcterms:W3CDTF">2025-06-03T10:44:00Z</dcterms:created>
  <dcterms:modified xsi:type="dcterms:W3CDTF">2025-06-05T11:31:00Z</dcterms:modified>
</cp:coreProperties>
</file>